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NW_30613 (Nordrhein-Westfalen) — Inkrafttreten</w:t>
      </w:r>
    </w:p>
    <w:p>
      <w:r>
        <w:rPr>
          <w:color w:val="555555"/>
          <w:sz w:val="18"/>
        </w:rPr>
        <w:t xml:space="preserve">GKL-StV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zum 1. Juli 2012 in Kraft. Das Inkrafttreten ist durch das für Inneres zuständige Ministerium im Gesetz- und Verordnungsblatt für das Land Nordrhein-Westfalen bekannt zu geben.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Wirtschaft, Energie,</w:t>
      </w:r>
    </w:p>
    <w:p>
      <w:r>
        <w:t xml:space="preserve">Industrie, Mittelstand und Handwerk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Justizminister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rPr>
          <w:color w:val="555555"/>
          <w:sz w:val="17"/>
        </w:rPr>
        <w:t xml:space="preserve">Zitiervorschlag: § 2 NW_30613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