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NW_30610 (Nordrhein-Westfalen)</w:t>
      </w:r>
    </w:p>
    <w:p>
      <w:r>
        <w:rPr>
          <w:color w:val="555555"/>
          <w:sz w:val="18"/>
        </w:rPr>
        <w:t xml:space="preserve">Verordnung zur Übertragung von Befugnissen nach den §§ 57 bis 59 der Landeshaushaltsordnung im Geschäftsbereich des für Schule zuständigen Ministeriums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Mai 2012</w:t>
      </w:r>
    </w:p>
    <w:p>
      <w:r>
        <w:t xml:space="preserve">Auf Grund der §§ 57 Satz 2, 58 Absatz 1 Satz 2 und 59 Absatz 1 Satz 2 der Landeshaushaltsordnung in der Fassung vom 26. April 1999 (GV. NRW. S. 158), zuletzt geändert durch Artikel 1 des Gesetzes vom 17. Dezember 2009 (GV. NRW. S. 950), wird - soweit erforderlich mit Einwilligung des Finanzministeriums - verordnet:</w:t>
      </w:r>
    </w:p>
    <w:p>
      <w:r>
        <w:rPr>
          <w:color w:val="555555"/>
          <w:sz w:val="17"/>
        </w:rPr>
        <w:t xml:space="preserve">Zitiervorschlag: Volltext NW_30610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https://recht.nulegal.eu/gesetze/NW_30610/volltext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