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NW_30473 (Nordrhein-Westfalen) — Fachbezogener Sachaufwand</w:t>
      </w:r>
    </w:p>
    <w:p>
      <w:r>
        <w:rPr>
          <w:color w:val="555555"/>
          <w:sz w:val="18"/>
        </w:rPr>
        <w:t xml:space="preserve">Verordnung über den finanziellen Ausgleich des Gesetzes zur Eingliederung der Versorgungsämter in die allgemeine Verwaltung des Landes Nordrhein-Westfalen und zur Anpassung des Belastungsausgleichs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Ausgleich des fachbezogenen Sachaufwandes nach § 26 Absatz 1 Satz 1 Eingliederungsgesetz wird den Kreisen und kreisfreien Städten in vierteljährlichen Abschlägen jeweils zur Mitte des Quartals für das laufende Quartal ausgezahlt. Grundlage für die Höhe der Abschläge sind die Fallzahlen nach § 26 Absatz 1 Satz 1 Eingliederungsgesetz für das Vorvorjahr.</w:t>
      </w:r>
    </w:p>
    <w:p>
      <w:r>
        <w:t xml:space="preserve">(2) Nach Ablauf des Kalenderjahres wird aufgrund der tatsächlichen Fallzahlen eine Abrechnung unter Zugrundelegung der im vorangegangen Jahr gezahlten Abschläge vorgenommen. Überzahlungen werden mit den laufend zu zahlenden Abschlägen verrechnet.</w:t>
      </w:r>
    </w:p>
    <w:p>
      <w:r>
        <w:rPr>
          <w:color w:val="555555"/>
          <w:sz w:val="17"/>
        </w:rPr>
        <w:t xml:space="preserve">Zitiervorschlag: § 5 NW_30473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https://recht.nulegal.eu/gesetze/NW_30473/5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NW_30473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