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NW_30473 (Nordrhein-Westfalen) — Tatsächlicher Personalbestand</w:t>
      </w:r>
    </w:p>
    <w:p>
      <w:r>
        <w:rPr>
          <w:color w:val="555555"/>
          <w:sz w:val="18"/>
        </w:rPr>
        <w:t xml:space="preserve">Verordnung über den finanziellen Ausgleich des Gesetzes zur Eingliederung der Versorgungsämter in die allgemeine Verwaltung des Landes Nordrhein-Westfalen und zur Anpassung des Belastungsausgleichs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Inanspruchnahme oder Beendigung von Elternzeit, Beurlaubung und Sonderurlaub, bei Veränderung der individuellen Arbeitszeit sowie bei Eintritt in die Freistellungsphase der Altersteilzeit wird der tatsächliche Personalbestand nach § 23 Absatz 3 Eingliederungsgesetz entsprechend angepasst. Veränderungen des tatsächlichen Personalbestandes nach Satz 1 sind bei der Festsetzung von finanziellem Nachersatz nach § 23 Absatz 5 Eingliederungsgesetz zu berücksichtigen.</w:t>
      </w:r>
    </w:p>
    <w:p>
      <w:r>
        <w:rPr>
          <w:color w:val="555555"/>
          <w:sz w:val="17"/>
        </w:rPr>
        <w:t xml:space="preserve">Zitiervorschlag: § 2 NW_30473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