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NW_30466 (Nordrhein-Westfalen)</w:t>
      </w:r>
    </w:p>
    <w:p>
      <w:r>
        <w:rPr>
          <w:color w:val="555555"/>
          <w:sz w:val="18"/>
        </w:rPr>
        <w:t xml:space="preserve">Rundfunkbeitragsstaatsvertrag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Dezember 2011</w:t>
      </w:r>
    </w:p>
    <w:p>
      <w:r>
        <w:t xml:space="preserve">(Artikel 1 des Fünfzehnten Rundfunkänderungsstaatsvertrages</w:t>
      </w:r>
    </w:p>
    <w:p>
      <w:r>
        <w:t xml:space="preserve">vom 13. Dezember 2011 (GV. NRW. S. 675))</w:t>
      </w:r>
    </w:p>
    <w:p>
      <w:r>
        <w:t xml:space="preserve">Inhaltsverzeichnis</w:t>
      </w:r>
    </w:p>
    <w:p>
      <w:r>
        <w:t xml:space="preserve">§ 1 Zweck des Rundfunkbeitrags</w:t>
      </w:r>
    </w:p>
    <w:p>
      <w:r>
        <w:t xml:space="preserve">§ 2 Rundfunkbeitrag im privaten Bereich</w:t>
      </w:r>
    </w:p>
    <w:p>
      <w:r>
        <w:t xml:space="preserve">§ 3 Wohnung</w:t>
      </w:r>
    </w:p>
    <w:p>
      <w:r>
        <w:t xml:space="preserve">§ 4 Befreiungen von der Beitragspflicht, Ermäßigung</w:t>
      </w:r>
    </w:p>
    <w:p>
      <w:r>
        <w:t xml:space="preserve">§ 4 a Befreiung von der Beitragspflicht für Nebenwohnungen</w:t>
      </w:r>
    </w:p>
    <w:p>
      <w:r>
        <w:t xml:space="preserve">§ 5 Rundfunkbeitrag im nicht privaten Bereich</w:t>
      </w:r>
    </w:p>
    <w:p>
      <w:r>
        <w:t xml:space="preserve">§ 6 Betriebsstätte, Beschäftigte</w:t>
      </w:r>
    </w:p>
    <w:p>
      <w:r>
        <w:t xml:space="preserve">§ 7 Beginn und Ende der Beitragspflicht, Zahlungsweise, Verjährung</w:t>
      </w:r>
    </w:p>
    <w:p>
      <w:r>
        <w:t xml:space="preserve">§ 8 Anzeigepflicht</w:t>
      </w:r>
    </w:p>
    <w:p>
      <w:r>
        <w:t xml:space="preserve">§ 9 Auskunftsrecht, Satzungsermächtigung</w:t>
      </w:r>
    </w:p>
    <w:p>
      <w:r>
        <w:t xml:space="preserve">§ 10 Beitragsgläubiger, Schickschuld, Erstattung, Vollstreckung</w:t>
      </w:r>
    </w:p>
    <w:p>
      <w:r>
        <w:t xml:space="preserve">§ 10 a Vollständig automatisierter Erlass von Bescheiden</w:t>
      </w:r>
    </w:p>
    <w:p>
      <w:r>
        <w:t xml:space="preserve">§ 11 Verarbeitung personenbezogener Daten</w:t>
      </w:r>
    </w:p>
    <w:p>
      <w:r>
        <w:t xml:space="preserve">§ 12 Ordnungswidrigkeiten</w:t>
      </w:r>
    </w:p>
    <w:p>
      <w:r>
        <w:t xml:space="preserve">§ 13 Revision zum Bundesverwaltungsgericht</w:t>
      </w:r>
    </w:p>
    <w:p>
      <w:r>
        <w:t xml:space="preserve">§ 14 Übergangsbestimmungen</w:t>
      </w:r>
    </w:p>
    <w:p>
      <w:r>
        <w:t xml:space="preserve">§ 15 Vertragsdauer, Kündigung</w:t>
      </w:r>
    </w:p>
    <w:p>
      <w:r>
        <w:rPr>
          <w:color w:val="555555"/>
          <w:sz w:val="17"/>
        </w:rPr>
        <w:t xml:space="preserve">Zitiervorschlag: Volltext NW_30466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https://recht.nulegal.eu/gesetze/NW_30466/volltext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