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NW_30465 (Nordrhein-Westfalen) — Folgen von Pflichtverstößen</w:t>
      </w:r>
    </w:p>
    <w:p>
      <w:r>
        <w:rPr>
          <w:color w:val="555555"/>
          <w:sz w:val="18"/>
        </w:rPr>
        <w:t xml:space="preserve">Stärkungspaktgesetz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Kommt die Gemeinde ihrer Pflicht zur Vorlage des Haushaltssanierungsplans nicht nach, weicht sie vom Haushaltssanierungsplan ab oder werden dessen Ziele aus anderen Gründen nicht erreicht, setzt die Bezirksregierung der Gemeinde eine angemessene Frist, in deren Lauf die Maßnahmen zu treffen sind, die notwendig sind, um die Vorgaben dieses Gesetzes und die Ziele des Haushaltssanierungsplans einzuhalten. Sofern die Gemeinde diese Maßnahmen innerhalb der gesetzten Frist nicht ergreift, ist durch das für Kommunales zuständige Ministerium ein Beauftragter gemäß § 124 der Gemeindeordnung für das Land Nordrhein-Westfalen zu bestellen.</w:t>
      </w:r>
    </w:p>
    <w:p>
      <w:r>
        <w:t xml:space="preserve">(2) Bei nicht absehbaren und von der Gemeinde nicht zu beeinflussenden erheblichen Veränderungen der finanziellen Situation der Gemeinde kann die Bezirksregierung eine Anpassung des Haushaltssanierungsplans genehmigen.</w:t>
      </w:r>
    </w:p>
    <w:p>
      <w:r>
        <w:rPr>
          <w:color w:val="555555"/>
          <w:sz w:val="17"/>
        </w:rPr>
        <w:t xml:space="preserve">Zitiervorschlag: § 8 NW_30465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https://recht.nulegal.eu/gesetze/NW_30465/8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