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NW_30465 (Nordrhein-Westfalen) — Haushaltssanierungsplan</w:t>
      </w:r>
    </w:p>
    <w:p>
      <w:r>
        <w:rPr>
          <w:color w:val="555555"/>
          <w:sz w:val="18"/>
        </w:rPr>
        <w:t xml:space="preserve">Stärkungspaktgesetz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pflichtig teilnehmenden Gemeinden müssen der Bezirksregierung bis zum 30. Juni 2012 einen vom Rat beschlossenen Haushaltssanierungsplan vorlegen. Die auf Antrag teilnehmenden Gemeinden legen den vom Rat beschlossenen Haushaltssanierungsplan bis zum 30. September 2012 vor.</w:t>
      </w:r>
    </w:p>
    <w:p>
      <w:r>
        <w:t xml:space="preserve">(2) Der Haushaltsanierungsplan bedarf der Genehmigung der Bezirksregierung. Die Genehmigung kann nur unter folgenden Voraussetzungen erteilt werden:</w:t>
      </w:r>
    </w:p>
    <w:p>
      <w:r>
        <w:t xml:space="preserve">1. Im Haushaltssanierungsplan wird der Haushaltsausgleich gemäß § 75 Absatz 2 Satz 1 und 2 der Gemeindeordnung für das Land Nordrhein-Westfalen unter Einbeziehung der Konsolidierungshilfe zum nächstmöglichen Zeitpunkt und von diesem Zeitpunkt an jährlich, bei pflichtig teilnehmenden Gemeinden in der Regel spätestens ab dem Jahr 2016 und bei auf Antrag teilnehmenden Gemeinden in der Regel spätestens ab dem Jahr 2018, erreicht. Der Haushaltssanierungsplan muss das Erreichen des Haushaltsausgleichs in gleichmäßigen jährlichen Schritten darstellen. Eine Darstellung in unterschiedlich großen jährlichen Schritten ist zulässig, sofern die Bezirksregierung zustimmt. Die zum Erreichen der jährlichen Schritte notwendigen Teilziele werden im Haushaltssanierungsplan als Meilensteine dargestellt.</w:t>
      </w:r>
    </w:p>
    <w:p>
      <w:r>
        <w:t xml:space="preserve">2. Nach dem Haushaltssanierungsplan wird der Haushaltsausgleich spätestens im Jahr 2021 ohne Konsolidierungshilfe erreicht. Die jährlichen Konsolidierungsschritte müssen nach erstmaligem Erreichen des Haushaltsausgleichs einen degressiven Abbau der zum Haushaltsausgleich erforderlichen Konsolidierungshilfe vorsehen.</w:t>
      </w:r>
    </w:p>
    <w:p>
      <w:r>
        <w:t xml:space="preserve">3. Sämtliche möglichen Konsolidierungsbeiträge der verselbständigten Aufgabenbereiche der Gemeinde in öffentlich-rechtlicher oder privatrechtlicher Form werden geprüft und in den Haushaltssanierungsplan mit einbezogen.</w:t>
      </w:r>
    </w:p>
    <w:p>
      <w:r>
        <w:t xml:space="preserve">(3) Der Haushaltssanierungsplan ist jährlich fortzuschreiben und der Bezirksregierung spätestens am 1. Dezember vor Beginn des Haushaltsjahres zur Genehmigung vorzulegen.</w:t>
      </w:r>
    </w:p>
    <w:p>
      <w:r>
        <w:t xml:space="preserve">(4) Der genehmigte Haushaltssanierungsplan tritt an die Stelle des Haushaltssicherungskonzepts und des individuellen Haushaltssanierungskonzepts nach § 76 der Gemeindeordnung für das Land Nordrhein-Westfalen. Die Vorschriften über das Haushaltssicherungskonzept gelten für den Haushaltssanierungsplan entsprechend, soweit dieses Gesetz keine abweichenden Regelungen trifft.</w:t>
      </w:r>
    </w:p>
    <w:p>
      <w:r>
        <w:rPr>
          <w:color w:val="555555"/>
          <w:sz w:val="17"/>
        </w:rPr>
        <w:t xml:space="preserve">Zitiervorschlag: § 6 NW_30465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