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NW_30461 (Nordrhein-Westfalen)</w:t>
      </w:r>
    </w:p>
    <w:p>
      <w:r>
        <w:rPr>
          <w:color w:val="555555"/>
          <w:sz w:val="18"/>
        </w:rPr>
        <w:t xml:space="preserve">Fluglärmschutzverordnung Köln/Bonn- FluLärmKölnV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7. Dezember 2011</w:t>
      </w:r>
    </w:p>
    <w:p>
      <w:r>
        <w:t xml:space="preserve">Auf Grund des § 4 Absatz 2 und 6 des Gesetzes zum Schutz gegen Fluglärm in der Fassung der Bekanntmachung vom 31. Oktober 2007 (BGBl. I S. 2550) wird mit Zustimmung des für die kommunale Selbstverwaltung zuständigen Ausschusses des Landtags verordnet:</w:t>
      </w:r>
    </w:p>
    <w:p>
      <w:r>
        <w:rPr>
          <w:color w:val="555555"/>
          <w:sz w:val="17"/>
        </w:rPr>
        <w:t xml:space="preserve">Zitiervorschlag: Volltext NW_30461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https://recht.nulegal.eu/gesetze/NW_30461/volltext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