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NW_30461 (Nordrhein-Westfalen)</w:t>
      </w:r>
    </w:p>
    <w:p>
      <w:r>
        <w:rPr>
          <w:color w:val="555555"/>
          <w:sz w:val="18"/>
        </w:rPr>
        <w:t xml:space="preserve">Fluglärmschutzverordnung Köln/Bonn- FluLärmKölnV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ihrer Verkündung in Kraft.</w:t>
      </w:r>
    </w:p>
    <w:p>
      <w:r>
        <w:t xml:space="preserve">(2) Das für Immissionsschutz zuständige Ministerium berichtet der Landesregierung bis zum 31. Dezember 2016 und danach alle fünf Jahre über die Notwendigkeit des Fortbestehens dieser Verordnung.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Minister</w:t>
      </w:r>
    </w:p>
    <w:p>
      <w:r>
        <w:t xml:space="preserve">für Klimaschutz, Umwelt, Landwirtschaft,</w:t>
      </w:r>
    </w:p>
    <w:p>
      <w:r>
        <w:t xml:space="preserve">Natur- und Verbraucherschutz</w:t>
      </w:r>
    </w:p>
    <w:p>
      <w:r>
        <w:t xml:space="preserve">Hinweis zu Anlage 2:</w:t>
      </w:r>
    </w:p>
    <w:p>
      <w:r>
        <w:t xml:space="preserve">Die im Maßstab 1:50 000 erstellte topographische Karte liegt nur der gedruckten Fassung des Gesetz- und Verordnungsblattes für das Land Nordrhein-Westfalen im Format DIN A 3 bei; in der elektronischen Ausgabe erfolgt die Darstellung und der Ausdruck im Format DIN A 4.</w:t>
      </w:r>
    </w:p>
    <w:p>
      <w:r>
        <w:rPr>
          <w:color w:val="555555"/>
          <w:sz w:val="17"/>
        </w:rPr>
        <w:t xml:space="preserve">Zitiervorschlag: § 6 NW_30461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https://recht.nulegal.eu/gesetze/NW_30461/6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