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NW_30461 (Nordrhein-Westfalen)</w:t>
      </w:r>
    </w:p>
    <w:p>
      <w:r>
        <w:rPr>
          <w:color w:val="555555"/>
          <w:sz w:val="18"/>
        </w:rPr>
        <w:t xml:space="preserve">Fluglärmschutzverordnung Köln/Bonn- FluLärmKölnV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nach § 2 bestimmte Lärmschutzbereich ist in einer topographischen Karte im Maßstab 1:50 000 und in Blättern der Deutschen Grundkarte im Maßstab 1:5 000 dargestellt.</w:t>
      </w:r>
    </w:p>
    <w:p>
      <w:r>
        <w:t xml:space="preserve">Die topographische Karte ist als Anlage 2 dieser Verordnung beigefügt. Die Blätter der Deutschen Grundkarte sind bei der Bezirksregierung Köln, Zeughausstraße 2-10, 50667 Köln, zu jedermanns Einsicht archivmäßig gesichert niedergelegt.</w:t>
      </w:r>
    </w:p>
    <w:p>
      <w:r>
        <w:rPr>
          <w:color w:val="555555"/>
          <w:sz w:val="17"/>
        </w:rPr>
        <w:t xml:space="preserve">Zitiervorschlag: § 4 NW_30461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