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NW_30461 (Nordrhein-Westfalen)</w:t>
      </w:r>
    </w:p>
    <w:p>
      <w:r>
        <w:rPr>
          <w:color w:val="555555"/>
          <w:sz w:val="18"/>
        </w:rPr>
        <w:t xml:space="preserve">Fluglärmschutzverordnung Köln/Bonn- FluLärmKölnV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Lärmschutzbereich mit seinen zwei Tag-Schutzzonen und seiner Nacht-Schutzzone wird bestimmt durch die Verbindungslinien zwischen den in Anlage 1 genannten Kurvenpunkten, soweit diese Linien außerhalb des Flugplatzgeländes verlaufen.</w:t>
      </w:r>
    </w:p>
    <w:p>
      <w:r>
        <w:rPr>
          <w:color w:val="555555"/>
          <w:sz w:val="17"/>
        </w:rPr>
        <w:t xml:space="preserve">Zitiervorschlag: § 2 NW_30461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https://recht.nulegal.eu/gesetze/NW_30461/2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