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NW_30319 (Nordrhein-Westfalen)</w:t>
      </w:r>
    </w:p>
    <w:p>
      <w:r>
        <w:rPr>
          <w:color w:val="555555"/>
          <w:sz w:val="18"/>
        </w:rPr>
        <w:t xml:space="preserve">Gesetz über die Festsetzung des Steuersatzes für die Grunderwerbsteuer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Juli 2011</w:t>
      </w:r>
    </w:p>
    <w:p>
      <w:r>
        <w:rPr>
          <w:color w:val="555555"/>
          <w:sz w:val="17"/>
        </w:rPr>
        <w:t xml:space="preserve">Zitiervorschlag: Volltext NW_30319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https://recht.nulegal.eu/gesetze/NW_30319/volltext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NW_30319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