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NW_30319 (Nordrhein-Westfalen) — Inkrafttreten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Oktober 2011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Für 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Für den Finanzminister</w:t>
      </w:r>
    </w:p>
    <w:p>
      <w:r>
        <w:t xml:space="preserve">Der Minister</w:t>
      </w:r>
    </w:p>
    <w:p>
      <w:r>
        <w:t xml:space="preserve">für Wirtschaft, Energie, Bauen,</w:t>
      </w:r>
    </w:p>
    <w:p>
      <w:r>
        <w:t xml:space="preserve">Wohnen und Verkehr</w:t>
      </w:r>
    </w:p>
    <w:p>
      <w:r>
        <w:t xml:space="preserve">Für den Minister</w:t>
      </w:r>
    </w:p>
    <w:p>
      <w:r>
        <w:t xml:space="preserve">für Inneres und Kommunales</w:t>
      </w:r>
    </w:p>
    <w:p>
      <w:r>
        <w:t xml:space="preserve">Die Ministerin</w:t>
      </w:r>
    </w:p>
    <w:p>
      <w:r>
        <w:t xml:space="preserve">für Wissenschaft, Innovation und Forschung</w:t>
      </w:r>
    </w:p>
    <w:p>
      <w:r>
        <w:rPr>
          <w:color w:val="555555"/>
          <w:sz w:val="17"/>
        </w:rPr>
        <w:t xml:space="preserve">Zitiervorschlag: § 2 NW_30319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