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NW_30319 (Nordrhein-Westfalen) — Steuersatz bei der Grunderwerbsteuer</w:t>
      </w:r>
    </w:p>
    <w:p>
      <w:r>
        <w:rPr>
          <w:color w:val="555555"/>
          <w:sz w:val="18"/>
        </w:rPr>
        <w:t xml:space="preserve">Gesetz über die Festsetzung des Steuersatzes für die Grunderwerbsteuer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Steuersatz bei der Grunderwerbsteuer für Erwerbsvorgänge, die sich auf im Land Nordrhein-Westfalen gelegene Grundstücke beziehen, beträgt 6,5 vom Hundert.</w:t>
      </w:r>
    </w:p>
    <w:p>
      <w:r>
        <w:t xml:space="preserve">(2) Der Steuersatz nach Absatz 1 ist auf Erwerbsvorgänge anzuwenden, die ab dem 1. Januar 2015 verwirklicht werden.</w:t>
      </w:r>
    </w:p>
    <w:p>
      <w:r>
        <w:rPr>
          <w:color w:val="555555"/>
          <w:sz w:val="17"/>
        </w:rPr>
        <w:t xml:space="preserve">Zitiervorschlag: § 1 NW_30319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https://recht.nulegal.eu/gesetze/NW_30319/1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NW_30319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