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NW_30317 (Nordrhein-Westfalen) — Schlussbestimmungen</w:t>
      </w:r>
    </w:p>
    <w:p>
      <w:r>
        <w:rPr>
          <w:color w:val="555555"/>
          <w:sz w:val="18"/>
        </w:rPr>
        <w:t xml:space="preserve">Satzung Bürgerfernsehen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 Satzung tritt am Tage nach der Bekanntmachung im Gesetz- und Verordnungsblatt für das Land Nordrhein-Westfalen in Kraft.</w:t>
      </w:r>
    </w:p>
    <w:p>
      <w:r>
        <w:t xml:space="preserve">(2) Gleichzeitig tritt die Satzung der Landesanstalt für Medien Nordrhein-Westfalen (LfM) über die Förderung des Bürgerfunks im Fernsehen gem. § 82 Abs. 1 Nr. 2 LMG NRW(Fördersatzung Bürgerfernsehen) vom 14. Dezember 2007 (GV. NRW. 2008 S. 127) außer Kraft.</w:t>
      </w:r>
    </w:p>
    <w:p>
      <w:r>
        <w:t xml:space="preserve">Düsseldorf, den 15. Juli 2011</w:t>
      </w:r>
    </w:p>
    <w:p>
      <w:r>
        <w:t xml:space="preserve">Der Direktor</w:t>
      </w:r>
    </w:p>
    <w:p>
      <w:r>
        <w:t xml:space="preserve">der Landesanstalt für Medien</w:t>
      </w:r>
    </w:p>
    <w:p>
      <w:r>
        <w:t xml:space="preserve">Nordrhein-Westfalen (LfM)</w:t>
      </w:r>
    </w:p>
    <w:p>
      <w:r>
        <w:t xml:space="preserve">Dr. Jürgen B r a u t m e i e r</w:t>
      </w:r>
    </w:p>
    <w:p>
      <w:r>
        <w:rPr>
          <w:color w:val="555555"/>
          <w:sz w:val="17"/>
        </w:rPr>
        <w:t xml:space="preserve">Zitiervorschlag: § 5 NW_30317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https://recht.nulegal.eu/gesetze/NW_30317/5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