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NW_30301 (Nordrhein-Westfalen)</w:t>
      </w:r>
    </w:p>
    <w:p>
      <w:r>
        <w:rPr>
          <w:color w:val="555555"/>
          <w:sz w:val="18"/>
        </w:rPr>
        <w:t xml:space="preserve">Verordnung über die elektronische Aktenführung in Bußgeldverfahren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24. Mai 2011</w:t>
      </w:r>
    </w:p>
    <w:p>
      <w:r>
        <w:t xml:space="preserve">Auf Grund des § 110b Absatz 1 Satz 2 des Gesetzes über Ordnungswidrigkeiten in der Fassung der Bekanntmachung vom 19. Februar 1987 (BGBl. I S. 602), zuletzt geändert durch Artikel 2 des Gesetzes vom 29. Juli 2009 (BGBl. I S. 2353), wird verordnet:</w:t>
      </w:r>
    </w:p>
    <w:p>
      <w:r>
        <w:rPr>
          <w:color w:val="555555"/>
          <w:sz w:val="17"/>
        </w:rPr>
        <w:t xml:space="preserve">Zitiervorschlag: Volltext NW_30301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https://recht.nulegal.eu/gesetze/NW_30301/volltext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