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NW_30301 (Nordrhein-Westfalen)</w:t>
      </w:r>
    </w:p>
    <w:p>
      <w:r>
        <w:rPr>
          <w:color w:val="555555"/>
          <w:sz w:val="18"/>
        </w:rPr>
        <w:t xml:space="preserve">Verordnung über die elektronische Aktenführung in Bußgeldverfahren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1. Juli 2011 in Kraft.</w:t>
      </w:r>
    </w:p>
    <w:p>
      <w:r>
        <w:t xml:space="preserve">Das für den Bereich Inneres zuständige Ministerium berichtet der Landesregierung bis zum 31. Dezember 2016 und danach alle fünf Jahre über die Notwendigkeit des Fortbestehens dieser Verordnung.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Die Ministerpräsidentin</w:t>
      </w:r>
    </w:p>
    <w:p>
      <w:r>
        <w:t xml:space="preserve">Der Justizminister</w:t>
      </w:r>
    </w:p>
    <w:p>
      <w:r>
        <w:rPr>
          <w:color w:val="555555"/>
          <w:sz w:val="17"/>
        </w:rPr>
        <w:t xml:space="preserve">Zitiervorschlag: § 4 NW_30301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https://recht.nulegal.eu/gesetze/NW_30301/4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