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NW_30288 (Nordrhein-Westfalen)</w:t>
      </w:r>
    </w:p>
    <w:p>
      <w:r>
        <w:rPr>
          <w:color w:val="555555"/>
          <w:sz w:val="18"/>
        </w:rPr>
        <w:t xml:space="preserve">Studiumsqualitätsgesetz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März 2011</w:t>
      </w:r>
    </w:p>
    <w:p>
      <w:r>
        <w:t xml:space="preserve">(Artikel 2 des Gesetzes zur Verbesserung von</w:t>
      </w:r>
    </w:p>
    <w:p>
      <w:r>
        <w:t xml:space="preserve">Chancengleichheit beim Hochschulzugang</w:t>
      </w:r>
    </w:p>
    <w:p>
      <w:r>
        <w:t xml:space="preserve">in Nordrhein-Westfalen (GV. NRW. S. 165))</w:t>
      </w:r>
    </w:p>
    <w:p>
      <w:r>
        <w:rPr>
          <w:color w:val="555555"/>
          <w:sz w:val="17"/>
        </w:rPr>
        <w:t xml:space="preserve">Zitiervorschlag: Volltext NW_30288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https://recht.nulegal.eu/gesetze/NW_30288/volltext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NW_30288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