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NW_30288 (Nordrhein-Westfalen) — Inkrafttreten, Berichtspflicht</w:t>
      </w:r>
    </w:p>
    <w:p>
      <w:r>
        <w:rPr>
          <w:color w:val="555555"/>
          <w:sz w:val="18"/>
        </w:rPr>
        <w:t xml:space="preserve">Studiumsqualitätsgesetz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30. April 2011 in Kraft.</w:t>
      </w:r>
    </w:p>
    <w:p>
      <w:r>
        <w:t xml:space="preserve">(2) Die Landesregierung berichtet dem Landtag bis zum 31. Dezember 2016 und danach alle fünf Jahre über die Notwendigkeit des Fortbestehens dieses Gesetzes.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Die Ministerin</w:t>
      </w:r>
    </w:p>
    <w:p>
      <w:r>
        <w:t xml:space="preserve">für Familie, Kinder, Jugend,</w:t>
      </w:r>
    </w:p>
    <w:p>
      <w:r>
        <w:t xml:space="preserve">Kultur und Sport</w:t>
      </w:r>
    </w:p>
    <w:p>
      <w:r>
        <w:rPr>
          <w:color w:val="555555"/>
          <w:sz w:val="17"/>
        </w:rPr>
        <w:t xml:space="preserve">Zitiervorschlag: § 6 NW_30288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