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NW_30286 (Nordrhein-Westfalen) — Dauer</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einschließlich der Prüfungen und des Erholungsurlaubs 15 Monate, wenn dieser in Vollzeit absolviert wird. Aufgrund besonderer persönlicher Umstände besteht die Möglichkeit, die Ausbildungsanteile in der Ausbildungsbehörde in Teilzeit durchzuführen. Über die Durchführung der Ausbildung in Teilzeit und die damit verbundene Verlängerung der Ausbildungszeit entscheidet das Ministerium in Abstimmung mit der Ausbildungsbehörde und der Ausbildungsleitung.</w:t>
      </w:r>
    </w:p>
    <w:p>
      <w:r>
        <w:t xml:space="preserve">(2) Die Inhalte der Ausbildung ergeben sich aus dem Musterausbildungsplan gemäß Anlage 1.</w:t>
      </w:r>
    </w:p>
    <w:p>
      <w:r>
        <w:rPr>
          <w:color w:val="555555"/>
          <w:sz w:val="17"/>
        </w:rPr>
        <w:t xml:space="preserve">Zitiervorschlag: § 7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