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NW_30276 (Nordrhein-Westfalen) — Betriebsleitung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Betriebsleitung muss die notwendigen fachlichen, kaufmännischen und technischen Voraussetzungen zur Wahrnehmung der Leitungsfunktionen erbringen. Die Betriebsleitung ist dafür verantwortlich, dass die LVR-Krankenhauszentralwäscherei nach wirtschaftlichen Grundsätzen geführt wird.</w:t>
      </w:r>
    </w:p>
    <w:p>
      <w:r>
        <w:t xml:space="preserve">(2) Für die Betriebsleitung wird eine Vertretung bestellt.</w:t>
      </w:r>
    </w:p>
    <w:p>
      <w:r>
        <w:t xml:space="preserve">(3) Die Betriebsleitung sowie deren Vertretung werden für die Dauer von vier Jahren bestellt.</w:t>
      </w:r>
    </w:p>
    <w:p>
      <w:r>
        <w:t xml:space="preserve">Teil 2</w:t>
      </w:r>
    </w:p>
    <w:p>
      <w:r>
        <w:t xml:space="preserve">Struktur und Zuständigkeit der Einrichtung</w:t>
      </w:r>
    </w:p>
    <w:p>
      <w:r>
        <w:rPr>
          <w:color w:val="555555"/>
          <w:sz w:val="17"/>
        </w:rPr>
        <w:t xml:space="preserve">Zitiervorschlag: § 3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