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NW_30276 (Nordrhein-Westfalen) — Stellung der Kämmerin/des Kämmerers</w:t>
      </w:r>
    </w:p>
    <w:p>
      <w:r>
        <w:rPr>
          <w:color w:val="555555"/>
          <w:sz w:val="18"/>
        </w:rPr>
        <w:t xml:space="preserve">Betriebssatzung für die LVR-Krankenhauszentralwäscherei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Betriebsleitung hat über das zuständige Fachdezernat der Kämmerin/dem Kämmerer den Entwurf des Wirtschaftsplanes (Erfolgsplan, Stellenübersicht und Vermögensplan), der mittelfristigen Erfolgs- und Finanzplanung (Investitionsprogramm und Finanzplan) sowie des Jahresabschlusses mit seinen Anlagen zuzuleiten. Sie hat der Kämmerin/dem Kämmerer ferner die vierteljährlichen Zwischenberichte sowie die Ergebnisse der geführten Statistiken und der Kosten- und Leistungsrechnungen zur Verfügung zu stellen. Auf Verlangen hat sie darüber hinaus alle sonstigen finanzwirtschaftlichen Auskünfte sowie Zwischenberichte auch in kürzeren Zeitabständen zu erteilen.</w:t>
      </w:r>
    </w:p>
    <w:p>
      <w:r>
        <w:t xml:space="preserve">(2) Tritt die Kämmerin/der Kämmerer einem nach Absatz 1 Satz 1 vorgelegten Entwurf nicht bei, so ist der Entwurf den Einwendungen entsprechend zu ändern, soweit der Direktor/die Direktorin des Landschaftsverbandes Rheinland dies verlangt. In diesem Fall ist der Betriebsausschuss zu unterrichten.</w:t>
      </w:r>
    </w:p>
    <w:p>
      <w:r>
        <w:t xml:space="preserve">(3) Vor Entscheidungen über erfolgsgefährdende Mehraufwendungen und sonstige finanzwirtschaftliche Angelegenheiten, die den Haushalt des Landschaftsverbandes berühren, ist die Kämmerin/der Kämmerer im Betriebsausschuss zu hören. Wird dort kein Einvernehmen erzielt, ist die Angelegenheit über den Finanz- und Wirtschaftsausschuss dem Landschaftsausschuss zur Entscheidung vorzulegen.</w:t>
      </w:r>
    </w:p>
    <w:p>
      <w:r>
        <w:t xml:space="preserve">Teil 4</w:t>
      </w:r>
    </w:p>
    <w:p>
      <w:r>
        <w:t xml:space="preserve">Wirtschaftsführung, Rechnungswesen und Rechnungsführung</w:t>
      </w:r>
    </w:p>
    <w:p>
      <w:r>
        <w:rPr>
          <w:color w:val="555555"/>
          <w:sz w:val="17"/>
        </w:rPr>
        <w:t xml:space="preserve">Zitiervorschlag: § 12 NW_30276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https://recht.nulegal.eu/gesetze/NW_30276/12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