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NW_30276 (Nordrhein-Westfalen) — Gegenstand und Zweck des Betriebes</w:t>
      </w:r>
    </w:p>
    <w:p>
      <w:r>
        <w:rPr>
          <w:color w:val="555555"/>
          <w:sz w:val="18"/>
        </w:rPr>
        <w:t xml:space="preserve">Betriebssatzung für die LVR-Krankenhauszentralwäscherei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Krankenhauszentralwäschereien des Landschaftsverbandes Rheinland werden organisatorisch, verwaltungsmäßig und finanzwirtschaftlich gesondert wie ein Eigenbetrieb nach den dafür geltenden gesetzlichen Vorschriften und den Bestimmungen dieser Betriebssatzung geführt.</w:t>
      </w:r>
    </w:p>
    <w:p>
      <w:r>
        <w:t xml:space="preserve">(2) Zweck des Betriebes ist die Sicherstellung der Wäscheversorgung, vorrangig der Einrichtungen des Landschaftsverbandes Rheinland.</w:t>
      </w:r>
    </w:p>
    <w:p>
      <w:r>
        <w:t xml:space="preserve">(3) Der Betrieb kann Neben- und Hilfsbetriebe unterhalten, die seinen Betriebsweck fördern und wirtschaftlich mit ihm zusammenhängen.</w:t>
      </w:r>
    </w:p>
    <w:p>
      <w:r>
        <w:rPr>
          <w:color w:val="555555"/>
          <w:sz w:val="17"/>
        </w:rPr>
        <w:t xml:space="preserve">Zitiervorschlag: § 1 NW_30276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