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NW_30245 (Nordrhein-Westfalen) — Inkrafttreten</w:t>
      </w:r>
    </w:p>
    <w:p>
      <w:r>
        <w:rPr>
          <w:color w:val="555555"/>
          <w:sz w:val="18"/>
        </w:rPr>
        <w:t xml:space="preserve">Bekanntmachung des Verwaltungsabkommens über die Bestimmung der gemeinsamen zuständigen Behörde für die Festsetzung eines Wasserschutzgebietes für das Einzugsgebiet der Wassergewinnungsanlage Schollbruch des Wasserversorgungsverbandes Tecklenburger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Tage der letzten Unterzeichnung in Kraft.</w:t>
      </w:r>
    </w:p>
    <w:p>
      <w:r>
        <w:t xml:space="preserve">Düsseldorf, den 14. September 2010</w:t>
      </w:r>
    </w:p>
    <w:p>
      <w:r>
        <w:t xml:space="preserve">Für das Land Nordrhein-Westfalen:</w:t>
      </w:r>
    </w:p>
    <w:p>
      <w:r>
        <w:t xml:space="preserve">Der Minister</w:t>
      </w:r>
    </w:p>
    <w:p>
      <w:r>
        <w:t xml:space="preserve">für Klimaschutz, Umwelt Landwirtschaft,</w:t>
      </w:r>
    </w:p>
    <w:p>
      <w:r>
        <w:t xml:space="preserve">Natur – und Verbraucherschutz</w:t>
      </w:r>
    </w:p>
    <w:p>
      <w:r>
        <w:t xml:space="preserve">Johannes R e m m e l</w:t>
      </w:r>
    </w:p>
    <w:p>
      <w:r>
        <w:t xml:space="preserve">Hannover, den 30. September 2010</w:t>
      </w:r>
    </w:p>
    <w:p>
      <w:r>
        <w:t xml:space="preserve">Für das Land Niedersachsen:</w:t>
      </w:r>
    </w:p>
    <w:p>
      <w:r>
        <w:t xml:space="preserve">Der Minister</w:t>
      </w:r>
    </w:p>
    <w:p>
      <w:r>
        <w:t xml:space="preserve">für Umwelt und Klimaschutz</w:t>
      </w:r>
    </w:p>
    <w:p>
      <w:r>
        <w:t xml:space="preserve">Hans-Heinrich S a n d e r</w:t>
      </w:r>
    </w:p>
    <w:p>
      <w:r>
        <w:rPr>
          <w:color w:val="555555"/>
          <w:sz w:val="17"/>
        </w:rPr>
        <w:t xml:space="preserve">Zitiervorschlag: § 3 NW_30245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https://recht.nulegal.eu/gesetze/NW_30245/3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