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NW_30236 (Nordrhein-Westfalen) — Sitzungen der Verbandsversammlung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Verbandsvorsteherin oder der Verbandsvorsteher beruft die Verbandsversammlung nach Bedarf, mindestens jedoch einmal im Jahr schriftlich mit mindestens drei Wochen Frist ein und teilt die Tagesordnung mit.</w:t>
      </w:r>
    </w:p>
    <w:p>
      <w:r>
        <w:t xml:space="preserve">(2) Die Verbandsvorsteherin oder der Verbandsvorsteher leitet die Verbandsversammlung. Sie oder er hat kein Stimmrecht, ist jedoch befugt, auch in Sachfragen das Wort zu nehmen. Es gilt die Vertretungsregelung des § 11.</w:t>
      </w:r>
    </w:p>
    <w:p>
      <w:r>
        <w:t xml:space="preserve">(3) Die oder der von der Bund/Länder-Arbeitsgemeinschaft Wasser bestellte Vertreterin oder Vertreter der Länder nimmt an der Verbandsversammlung beratend teil. Ihr oder ihm ist auf Verlangen das Wort zu erteilen.</w:t>
      </w:r>
    </w:p>
    <w:p>
      <w:r>
        <w:rPr>
          <w:color w:val="555555"/>
          <w:sz w:val="17"/>
        </w:rPr>
        <w:t xml:space="preserve">Zitiervorschlag: § 9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