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NW_30236 (Nordrhein-Westfalen) — Satzungsänderungen</w:t>
      </w:r>
    </w:p>
    <w:p>
      <w:r>
        <w:rPr>
          <w:color w:val="555555"/>
          <w:sz w:val="18"/>
        </w:rPr>
        <w:t xml:space="preserve">BEV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Beschlüsse über Satzungsänderungen und -ergänzungen bedürfen der Genehmigung der Aufsichtsbehörde.</w:t>
      </w:r>
    </w:p>
    <w:p>
      <w:r>
        <w:t xml:space="preserve">(2) Die Aufsichtsbehörde kann eine Änderung der Satzung aus Gründen des öffentlichen Interesses fordern.</w:t>
      </w:r>
    </w:p>
    <w:p>
      <w:r>
        <w:t xml:space="preserve">(3) Kommt der Verband der Forderung innerhalb einer bestimmten Frist nicht nach, kann die Aufsichtsbehörde die Satzung ändern.</w:t>
      </w:r>
    </w:p>
    <w:p>
      <w:r>
        <w:rPr>
          <w:color w:val="555555"/>
          <w:sz w:val="17"/>
        </w:rPr>
        <w:t xml:space="preserve">Zitiervorschlag: § 31 NW_30236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https://recht.nulegal.eu/gesetze/NW_30236/31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