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NW_30236 (Nordrhein-Westfalen) — Verschwiegenheitspflicht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Vorstandsmitglieder, Mitglieder der Verbandsversammlung, Geschäftsführerin oder Geschäftsführer und ehrenamtlich Tätige sind verpflichtet, über alle ihnen bei der Durchführung ihrer Aufgaben bekanntwerdenden Tatsachen und Rechtsverhältnisse Verschwiegenheit zu bewahren.</w:t>
      </w:r>
    </w:p>
    <w:p>
      <w:r>
        <w:t xml:space="preserve">(2) Im Übrigen bleiben die Vorschriften der Verwaltungsverfahrensgesetze der Länder über die Verschwiegenheitspflicht unberührt.</w:t>
      </w:r>
    </w:p>
    <w:p>
      <w:r>
        <w:rPr>
          <w:color w:val="555555"/>
          <w:sz w:val="17"/>
        </w:rPr>
        <w:t xml:space="preserve">Zitiervorschlag: § 30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