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NW_30236 (Nordrhein-Westfalen) — Mitglieder/ Mitgliedschaft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Mitglieder des Verbandes sind</w:t>
      </w:r>
    </w:p>
    <w:p>
      <w:r>
        <w:t xml:space="preserve">1. die Arbeitsgemeinschaft Rhein-Wasserwerke e.V., Köln,</w:t>
      </w:r>
    </w:p>
    <w:p>
      <w:r>
        <w:t xml:space="preserve">2. der Bundesverband der Deutschen Binnenschiffahrt e.V., Duisburg.</w:t>
      </w:r>
    </w:p>
    <w:p>
      <w:r>
        <w:t xml:space="preserve">Über die Aufnahme neuer Mitglieder entscheidet der Vorstand nach Anhören der Verbandsversammlung.</w:t>
      </w:r>
    </w:p>
    <w:p>
      <w:r>
        <w:t xml:space="preserve">(2) Die Aufsichtsbehörde kann auch andere Mitglieder ohne Stimmrecht zulassen. Die Mitgliedschaft ist freiwillig. Sie kann mit einer Frist von drei Monaten zum Jahresende durch eingeschriebenen Brief gekündigt werden.</w:t>
      </w:r>
    </w:p>
    <w:p>
      <w:r>
        <w:t xml:space="preserve">(3) Der Verband führt ein Mitgliederverzeichnis, das nicht Bestandteil der Satzung ist.</w:t>
      </w:r>
    </w:p>
    <w:p>
      <w:r>
        <w:t xml:space="preserve">(4) Die Verbandsversammlung kann Mitglieder mit mindestens 2/3 Mehrheit aus wichtigem Grund ausschließen. Als wichtiger Grund gilt unter anderem die gröbliche Verletzung von Verbandsinteressen und -aufgaben oder die Nichtzahlung fälliger Jahresbeiträge nach zweimaliger erfolgloser Mahnung.</w:t>
      </w:r>
    </w:p>
    <w:p>
      <w:r>
        <w:rPr>
          <w:color w:val="555555"/>
          <w:sz w:val="17"/>
        </w:rPr>
        <w:t xml:space="preserve">Zitiervorschlag: § 3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