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NW_30236 (Nordrhein-Westfalen) — Beiträge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wird ein einheitlicher Jahresbeitrag von jedem Mitglied erhoben.</w:t>
      </w:r>
    </w:p>
    <w:p>
      <w:r>
        <w:t xml:space="preserve">(2) Die Verbandsversammlung beschließt über die Höhe der Jahresbeiträge und deren Änderungen.</w:t>
      </w:r>
    </w:p>
    <w:p>
      <w:r>
        <w:t xml:space="preserve">(3) Der Verband erhebt die Verbandsbeiträge durch Beitragsbescheid. Jahresbeiträge sind jeweils zu Beginn eines Jahres im Voraus zu entrichten.</w:t>
      </w:r>
    </w:p>
    <w:p>
      <w:r>
        <w:rPr>
          <w:color w:val="555555"/>
          <w:sz w:val="17"/>
        </w:rPr>
        <w:t xml:space="preserve">Zitiervorschlag: § 27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