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NW_30236 (Nordrhein-Westfalen) — Einnahmen</w:t>
      </w:r>
    </w:p>
    <w:p>
      <w:r>
        <w:rPr>
          <w:color w:val="555555"/>
          <w:sz w:val="18"/>
        </w:rPr>
        <w:t xml:space="preserve">BEV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Erfüllung seiner Aufgaben setzt der Verband die ihm durch Mitgliedsbeiträge, Zuschüsse Dritter, insbesondere nach Artikel 3 des Bilgenentwässerungsverband-Staatsvertrages, und Entsorgungsentgelte nach dem Abfallübereinkommen zur Verfügung stehenden Mittel ein.</w:t>
      </w:r>
    </w:p>
    <w:p>
      <w:r>
        <w:t xml:space="preserve">(2) Die Einnahmen des Verbandes sind nur für die Durchführung seiner Aufgaben zu verwenden.</w:t>
      </w:r>
    </w:p>
    <w:p>
      <w:r>
        <w:t xml:space="preserve">(3) Etwaige Überschüsse dürfen nur für die satzungsgemäßen Aufgaben verwendet werden.</w:t>
      </w:r>
    </w:p>
    <w:p>
      <w:r>
        <w:rPr>
          <w:color w:val="555555"/>
          <w:sz w:val="17"/>
        </w:rPr>
        <w:t xml:space="preserve">Zitiervorschlag: § 26 NW_30236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https://recht.nulegal.eu/gesetze/NW_30236/26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