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NW_30236 (Nordrhein-Westfalen) — Aufwandsentschädigung, Sitzungsgeld, Reisekosten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Vorstandsmitglieder sowie die Mitglieder der Verbandsversammlung sind ehrenamtlich tätig.</w:t>
      </w:r>
    </w:p>
    <w:p>
      <w:r>
        <w:t xml:space="preserve">(2) Die Verbandsvorsteherin oder der Verbandsvorsteher erhält eine jährliche Entschädigung und als Ersatz für ihre oder seine notwendigen Auslagen Reisekosten.</w:t>
      </w:r>
    </w:p>
    <w:p>
      <w:r>
        <w:t xml:space="preserve">(3) Die übrigen Vorstandsmitglieder und sonstige ehrenamtlich Tätige erhalten bei Wahrnehmung ihres Amtes als Ersatz für ihre notwendigen Auslagen ein Sitzungsgeld und Reisekosten.</w:t>
      </w:r>
    </w:p>
    <w:p>
      <w:r>
        <w:t xml:space="preserve">(4) Die Reisekostenvergütung richtet sich nach dem Landesreisekostengesetz.</w:t>
      </w:r>
    </w:p>
    <w:p>
      <w:r>
        <w:rPr>
          <w:color w:val="555555"/>
          <w:sz w:val="17"/>
        </w:rPr>
        <w:t xml:space="preserve">Zitiervorschlag: § 20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