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NW_30236 (Nordrhein-Westfalen) — Gesetzliche Vertretung des Verbandes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Verbandsvorsteherin oder der Verbandsvorsteher vertritt den Verband gerichtlich und außergerichtlich soweit nachfolgend nichts anderes bestimmt ist.</w:t>
      </w:r>
    </w:p>
    <w:p>
      <w:r>
        <w:t xml:space="preserve">(2) Die Geschäftsführerin oder der Geschäftsführer vertritt den Verband gerichtlich und außergerichtlich im Rahmen der ihr oder ihm durch die Geschäftsordnung zugewiesenen Tätigkeiten.</w:t>
      </w:r>
    </w:p>
    <w:p>
      <w:r>
        <w:t xml:space="preserve">(3) Erklärungen, durch die der Verband verpflichtet werden soll, bedürfen der Schriftform; sie sind nach Maßgabe der für den jeweiligen Fall geltenden Regelungen von der, dem oder den Vertretungsberechtigten zu unterzeichnen. Geschäfte mit einem Finanzvolumen von mehr als 10 000 € bedürfen zweier Unterschriften. Näheres regelt die Geschäftsordnung des Vorstandes.</w:t>
      </w:r>
    </w:p>
    <w:p>
      <w:r>
        <w:t xml:space="preserve">Wird für ein Geschäft oder für einen Kreis von Geschäften eine Bevollmächtigte oder ein Bevollmächtigter bestellt, so bedarf die Vollmacht der Form des Satzes 1.</w:t>
      </w:r>
    </w:p>
    <w:p>
      <w:r>
        <w:t xml:space="preserve">Ist eine Erklärung gegenüber dem Vorstand abzugeben, genügt es, wenn sie einem Vorstandsmitglied oder der Geschäftsführerin bzw. dem Geschäftsführer gegenüber abgegeben wird.</w:t>
      </w:r>
    </w:p>
    <w:p>
      <w:r>
        <w:rPr>
          <w:color w:val="555555"/>
          <w:sz w:val="17"/>
        </w:rPr>
        <w:t xml:space="preserve">Zitiervorschlag: § 19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