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NW_30236 (Nordrhein-Westfalen) — Beschlussfassung im Vorstand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Vorstand bildet seinen Willen mit der Mehrheit der Stimmen seiner anwesenden Mitglieder. Jedes Mitglied hat eine Stimme. Bei Stimmengleichheit gibt die Stimme der Verbandsvorsteherin oder des Verbandsvorstehers den Ausschlag.</w:t>
      </w:r>
    </w:p>
    <w:p>
      <w:r>
        <w:t xml:space="preserve">(2) Der Vorstand ist beschlussfähig, wenn mehr als die Hälfte seiner Mitglieder anwesend und alle rechtzeitig geladen sind.</w:t>
      </w:r>
    </w:p>
    <w:p>
      <w:r>
        <w:t xml:space="preserve">(3) Beschlüsse können auch im schriftlichen Verfahren gefasst werden, wenn kein Vorstandsmitglied diesem Verfahren widerspricht.</w:t>
      </w:r>
    </w:p>
    <w:p>
      <w:r>
        <w:t xml:space="preserve">(4) Beschlüsse sind in einer Niederschrift festzuhalten. § 10 Absatz 4 gilt entsprechend.</w:t>
      </w:r>
    </w:p>
    <w:p>
      <w:r>
        <w:rPr>
          <w:color w:val="555555"/>
          <w:sz w:val="17"/>
        </w:rPr>
        <w:t xml:space="preserve">Zitiervorschlag: § 16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