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NW_30236 (Nordrhein-Westfalen) — Amtszeit des Vorstandes</w:t>
      </w:r>
    </w:p>
    <w:p>
      <w:r>
        <w:rPr>
          <w:color w:val="555555"/>
          <w:sz w:val="18"/>
        </w:rPr>
        <w:t xml:space="preserve">BEV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Vorstand wird für eine Amtsperiode von fünf Jahren gewählt.</w:t>
      </w:r>
    </w:p>
    <w:p>
      <w:r>
        <w:t xml:space="preserve">(2) Wenn ein Vorstandsmitglied vor dem Ablauf der Amtszeit ausscheidet, so ist für den Rest der Amtszeit nach § 12 Ersatz zu wählen.</w:t>
      </w:r>
    </w:p>
    <w:p>
      <w:r>
        <w:t xml:space="preserve">(3) Die ausscheidenden Mitglieder bleiben bis zur Wahl der neuen Vorstandsmitglieder im Amt.</w:t>
      </w:r>
    </w:p>
    <w:p>
      <w:r>
        <w:rPr>
          <w:color w:val="555555"/>
          <w:sz w:val="17"/>
        </w:rPr>
        <w:t xml:space="preserve">Zitiervorschlag: § 13 NW_30236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https://recht.nulegal.eu/gesetze/NW_30236/13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