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NW_30230 (Nordrhein-Westfalen)</w:t>
      </w:r>
    </w:p>
    <w:p>
      <w:r>
        <w:rPr>
          <w:color w:val="555555"/>
          <w:sz w:val="18"/>
        </w:rPr>
        <w:t xml:space="preserve">Verordnung über Zuständigkeiten nach dem Gesetz zum Schutz gegen Fluglärm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Die Ministerpräsidentin</w:t>
      </w:r>
    </w:p>
    <w:p>
      <w:r>
        <w:t xml:space="preserve">Der Minister</w:t>
      </w:r>
    </w:p>
    <w:p>
      <w:r>
        <w:t xml:space="preserve">für Wirtschaft, Energie, Bauen,</w:t>
      </w:r>
    </w:p>
    <w:p>
      <w:r>
        <w:t xml:space="preserve">Wohnen und Verkehr</w:t>
      </w:r>
    </w:p>
    <w:p>
      <w:r>
        <w:rPr>
          <w:color w:val="555555"/>
          <w:sz w:val="17"/>
        </w:rPr>
        <w:t xml:space="preserve">Zitiervorschlag: § 2 NW_30230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https://recht.nulegal.eu/gesetze/NW_30230/2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