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NW_30220 (Nordrhein-Westfalen) — Dienstverhältnis, Dienstbezeichnung</w:t>
      </w:r>
    </w:p>
    <w:p>
      <w:r>
        <w:rPr>
          <w:color w:val="555555"/>
          <w:sz w:val="18"/>
        </w:rPr>
        <w:t xml:space="preserve">VAP 2.2 StAV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ausgewählten Bewerberinnen und Bewerber werden in das Beamtenverhältnis auf Widerruf berufen. Sie führen während des Vorbereitungsdienstes die Dienstbezeichnung „Regierungsgewerbereferendarin“ oder „Regierungsgewerbereferendar“.</w:t>
      </w:r>
    </w:p>
    <w:p>
      <w:r>
        <w:t xml:space="preserve">(2) Die Referendarinnen und Referendare leisten bei Dienstantritt den Diensteid (§ 46 Landesbeamtengesetz), der auch die Verpflichtung zur Amtsverschwiegenheit (§ 37 Beamtenstatusgesetz, § 23 Absatz 2 Arbeitsschutzgesetz, § 139 b Gewerbeordnung) umfasst. Über die Vereidigung und die Belehrung zur Amtsverschwiegenheit ist eine Niederschrift zu fertigen und zu den Personalakten zu nehmen.</w:t>
      </w:r>
    </w:p>
    <w:p>
      <w:r>
        <w:t xml:space="preserve">Teil 2</w:t>
      </w:r>
    </w:p>
    <w:p>
      <w:r>
        <w:t xml:space="preserve">Vorbereitungsdienst</w:t>
      </w:r>
    </w:p>
    <w:p>
      <w:r>
        <w:rPr>
          <w:color w:val="555555"/>
          <w:sz w:val="17"/>
        </w:rPr>
        <w:t xml:space="preserve">Zitiervorschlag: § 6 NW_30220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https://recht.nulegal.eu/gesetze/NW_30220/6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