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NW_30216 (Nordrhein-Westfalen)</w:t>
      </w:r>
    </w:p>
    <w:p>
      <w:r>
        <w:rPr>
          <w:color w:val="555555"/>
          <w:sz w:val="18"/>
        </w:rPr>
        <w:t xml:space="preserve">Regelung der Entschädigung der ehrenamtlichen Mitglieder der Selbstverwaltungsorgane und der von den Selbstverwaltungsorganen gebildeten Ausschüsse der Unfallkasse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23. Januar 2008</w:t>
      </w:r>
    </w:p>
    <w:p>
      <w:r>
        <w:t xml:space="preserve">Die Vertreterversammlung der Unfallkasse Nordrhein-Westfalen (UK NRW) hat am 23. Januar 2008 aufgrund der §§ 10 Absatz 6, 13 Nummer 14 der Satzung in Verbindung mit § 41 SGB IV die folgende Regelung über die Entschädigung der ehrenamtlichen Mitglieder der Selbstverwaltungsorgane und der von den Selbstverwaltungsorganen gebildeten Ausschüsse – Entschädigungsregelung – beschlossen*:</w:t>
      </w:r>
    </w:p>
    <w:p>
      <w:r>
        <w:t xml:space="preserve">*</w:t>
      </w:r>
    </w:p>
    <w:p>
      <w:r>
        <w:rPr>
          <w:color w:val="555555"/>
          <w:sz w:val="17"/>
        </w:rPr>
        <w:t xml:space="preserve">Zitiervorschlag: Volltext NW_30216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https://recht.nulegal.eu/gesetze/NW_30216/volltext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