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NW_30216 (Nordrhein-Westfalen) — Inkrafttreten</w:t>
      </w:r>
    </w:p>
    <w:p>
      <w:r>
        <w:rPr>
          <w:color w:val="555555"/>
          <w:sz w:val="18"/>
        </w:rPr>
        <w:t xml:space="preserve">Regelung der Entschädigung der ehrenamtlichen Mitglieder der Selbstverwaltungsorgane und der von den Selbstverwaltungsorganen gebildeten Ausschüsse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Regelung tritt vorbehaltlich der Genehmigung der Aufsichtsbehörde nach § 41 Absatz 4 Satz 3 SGB IV mit Wirkung vom 1. Januar 2008 in Kraft.</w:t>
      </w:r>
    </w:p>
    <w:p>
      <w:r>
        <w:t xml:space="preserve">Vorgelegt vom Vorstand</w:t>
      </w:r>
    </w:p>
    <w:p>
      <w:r>
        <w:t xml:space="preserve">Münster, den 9. Januar 2008</w:t>
      </w:r>
    </w:p>
    <w:p>
      <w:r>
        <w:t xml:space="preserve">S z y c h</w:t>
      </w:r>
    </w:p>
    <w:p>
      <w:r>
        <w:t xml:space="preserve">Vorsitzender</w:t>
      </w:r>
    </w:p>
    <w:p>
      <w:r>
        <w:t xml:space="preserve">Beschlossen von der Vertreterversammlung</w:t>
      </w:r>
    </w:p>
    <w:p>
      <w:r>
        <w:t xml:space="preserve">Düsseldorf, den 23. Januar 2008</w:t>
      </w:r>
    </w:p>
    <w:p>
      <w:r>
        <w:t xml:space="preserve">v o n L e n n e p</w:t>
      </w:r>
    </w:p>
    <w:p>
      <w:r>
        <w:t xml:space="preserve">Vorsitzender</w:t>
      </w:r>
    </w:p>
    <w:p>
      <w:r>
        <w:t xml:space="preserve">Genehmigung</w:t>
      </w:r>
    </w:p>
    <w:p>
      <w:r>
        <w:t xml:space="preserve">Die vorstehende Entschädigungsregelung wurde mit Schreiben des Ministeriums für Arbeit, Gesundheit und Soziales Nordrhein-Westfalen - Außenstelle Essen - vom 17. April 2008 (VB1 - 3541.8.112) gemäß § 41 Absatz 4 SGB IV genehmigt.</w:t>
      </w:r>
    </w:p>
    <w:p>
      <w:r>
        <w:rPr>
          <w:color w:val="555555"/>
          <w:sz w:val="17"/>
        </w:rPr>
        <w:t xml:space="preserve">Zitiervorschlag: § 9 NW_30216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