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NW_30216 (Nordrhein-Westfalen) — Öffentliche Bekanntmachung</w:t>
      </w:r>
    </w:p>
    <w:p>
      <w:r>
        <w:rPr>
          <w:color w:val="555555"/>
          <w:sz w:val="18"/>
        </w:rPr>
        <w:t xml:space="preserve">Regelung der Entschädigung der ehrenamtlichen Mitglieder der Selbstverwaltungsorgane und der von den Selbstverwaltungsorganen gebildeten Ausschüsse der Unfallkasse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Entschädigungsregelung ist nach § 1 Absatz 5 Satz 1 der Satzung öffentlich bekannt zu machen.</w:t>
      </w:r>
    </w:p>
    <w:p>
      <w:r>
        <w:rPr>
          <w:color w:val="555555"/>
          <w:sz w:val="17"/>
        </w:rPr>
        <w:t xml:space="preserve">Zitiervorschlag: § 8 NW_30216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https://recht.nulegal.eu/gesetze/NW_30216/8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