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NW_30216 (Nordrhein-Westfalen) — Allgemeines</w:t>
      </w:r>
    </w:p>
    <w:p>
      <w:r>
        <w:rPr>
          <w:color w:val="555555"/>
          <w:sz w:val="18"/>
        </w:rPr>
        <w:t xml:space="preserve">Regelung der Entschädigung der ehrenamtlichen Mitglieder der Selbstverwaltungsorgane und der von den Selbstverwaltungsorganen gebildeten Ausschüsse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Mitglieder der Selbstverwaltungsorgane einschließlich ihrer Ausschussmitglieder erhalten nach Maßgabe dieser Entschädigungsregelung Erstattung der in Ausübung ihrer Tätigkeit entstehenden Auslagen.</w:t>
      </w:r>
    </w:p>
    <w:p>
      <w:r>
        <w:t xml:space="preserve">(2) Auf die nach dieser Entschädigungsregelung zu erbringenden Leistungen werden vergleichbare Leistungen angerechnet, auf die gegen Dritte wegen der nach dieser Regelung zu entschädigenden Tätigkeit Ansprüche bestehen.</w:t>
      </w:r>
    </w:p>
    <w:p>
      <w:r>
        <w:rPr>
          <w:color w:val="555555"/>
          <w:sz w:val="17"/>
        </w:rPr>
        <w:t xml:space="preserve">Zitiervorschlag: § 1 NW_30216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https://recht.nulegal.eu/gesetze/NW_30216/1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