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NW_30210 (Nordrhein-Westfalen) — Anrechnunganderer Prüfungsleistungen</w:t>
      </w:r>
    </w:p>
    <w:p>
      <w:r>
        <w:rPr>
          <w:color w:val="555555"/>
          <w:sz w:val="18"/>
        </w:rPr>
        <w:t xml:space="preserve">Prüfungsordnung der Bezirksregierung Düsseldorf für die Durchführung von Fortbildungsprüfungen für die berufliche Fortbildung zum anerkannten Abschluss Geprüfter Meister für Bäderbetriebe/Geprüfte Meisterin für Bäderbetriebe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Prüfungsteilnehmerin oder der Prüfungsteilnehmer ist auf Antrag von der Ablegung einzelner Prüfungsbestandteile durch die zuständige Stelle zu befreien, wenn eine andere vergleichbare Prüfung vor einer öffentlichen oder staatlich anerkannten Bildungseinrichtung oder vor einem staatlichen Prüfungsausschuss erfolgreich abgelegt wurde und die Anmeldung zur Fortbildungsprüfung innerhalb von fünf Jahren nach der Bekanntgabe des Bestehens der anderen Prüfung erfolgte. Eine Befreiung vom Prüfungsfach „Management und Führungsaufgaben“ ist nicht zulässig.</w:t>
      </w:r>
    </w:p>
    <w:p>
      <w:r>
        <w:rPr>
          <w:color w:val="555555"/>
          <w:sz w:val="17"/>
        </w:rPr>
        <w:t xml:space="preserve">Zitiervorschlag: § 23 NW_30210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https://recht.nulegal.eu/gesetze/NW_30210/23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