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NW_30210 (Nordrhein-Westfalen) — Prüfungsaufgaben</w:t>
      </w:r>
    </w:p>
    <w:p>
      <w:r>
        <w:rPr>
          <w:color w:val="555555"/>
          <w:sz w:val="18"/>
        </w:rPr>
        <w:t xml:space="preserve">Prüfungsordnung der Bezirksregierung Düsseldorf für die Durchführung von Fortbildungsprüfungen für die berufliche Fortbildung zum anerkannten Abschluss Geprüfter Meister für Bäderbetriebe/Geprüfte Meisterin für Bäderbetriebe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Prüfungsaufgaben erstellt und beschließt der Prüfungsausschuss auf der Grundlage der §§ 12 und 13.</w:t>
      </w:r>
    </w:p>
    <w:p>
      <w:r>
        <w:t xml:space="preserve">(2) Der Prüfungsausschuss ist gehalten, überregional erstellte Prüfungsaufgaben zu übernehmen, soweit diese von Gremien erstellt oder ausgewählt worden sind, die entsprechend § 40 BBiG zusammengesetzt sind.</w:t>
      </w:r>
    </w:p>
    <w:p>
      <w:r>
        <w:rPr>
          <w:color w:val="555555"/>
          <w:sz w:val="17"/>
        </w:rPr>
        <w:t xml:space="preserve">Zitiervorschlag: § 14 NW_30210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https://recht.nulegal.eu/gesetze/NW_30210/14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