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NW_30158 (Nordrhein-Westfalen) — Besoldungsnebengebiete</w:t>
      </w:r>
    </w:p>
    <w:p>
      <w:r>
        <w:rPr>
          <w:color w:val="555555"/>
          <w:sz w:val="18"/>
        </w:rPr>
        <w:t xml:space="preserve">Fn 3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Entscheidungen nach den Vorschriften</w:t>
      </w:r>
    </w:p>
    <w:p>
      <w:r>
        <w:t xml:space="preserve">1. des Umzugskostenrechts,</w:t>
      </w:r>
    </w:p>
    <w:p>
      <w:r>
        <w:t xml:space="preserve">2. des Reisekostenrechts einschließlich der Anordnung und Genehmigung von Auslandsdienstreisen,</w:t>
      </w:r>
    </w:p>
    <w:p>
      <w:r>
        <w:t xml:space="preserve">3. der Trennungsentschädigungsverordnung,</w:t>
      </w:r>
    </w:p>
    <w:p>
      <w:r>
        <w:t xml:space="preserve">4. der Unterstützungsgrundsätze und</w:t>
      </w:r>
    </w:p>
    <w:p>
      <w:r>
        <w:t xml:space="preserve">5. der Vorschussrichtlinien</w:t>
      </w:r>
    </w:p>
    <w:p>
      <w:r>
        <w:t xml:space="preserve">ist dienstvorgesetzte Stelle</w:t>
      </w:r>
    </w:p>
    <w:p>
      <w:r>
        <w:t xml:space="preserve">a) für das in § 27 Absatz 2 Satz 2 Kunsthochschulgesetz genannte beamtete Personal</w:t>
      </w:r>
    </w:p>
    <w:p>
      <w:r>
        <w:t xml:space="preserve">die in dieser Vorschrift genannte Person,</w:t>
      </w:r>
    </w:p>
    <w:p>
      <w:r>
        <w:t xml:space="preserve">b) für das in § 27 Absatz 2 Satz 3 Kunsthochschulgesetz genannte beamtete Personal</w:t>
      </w:r>
    </w:p>
    <w:p>
      <w:r>
        <w:t xml:space="preserve">die in dieser Vorschrift genannte Person,</w:t>
      </w:r>
    </w:p>
    <w:p>
      <w:r>
        <w:t xml:space="preserve">c) für das der Stiftung für Hochschulzulassung zugewiesene beamtete Personal</w:t>
      </w:r>
    </w:p>
    <w:p>
      <w:r>
        <w:t xml:space="preserve">die Geschäftsführung der Stiftung für Hochschulzulassung,</w:t>
      </w:r>
    </w:p>
    <w:p>
      <w:r>
        <w:t xml:space="preserve">d) für das der Stiftung Zoologisches Forschungsmuseum Alexander Koenig - Leibniz-Institut für Biodiversität der Tiere zugewiesene beamtete Personal</w:t>
      </w:r>
    </w:p>
    <w:p>
      <w:r>
        <w:t xml:space="preserve">die Direktorin oder der Direktor der Stiftung Zoologisches Forschungsmuseum Alexander Koenig - Leibniz-Institut für Biodiversität der Tiere,</w:t>
      </w:r>
    </w:p>
    <w:p>
      <w:r>
        <w:t xml:space="preserve">e) für das der Stiftung Deutsche Zentralbibliothek für Medizin zugewiesene beamtete Personal</w:t>
      </w:r>
    </w:p>
    <w:p>
      <w:r>
        <w:t xml:space="preserve">die Direktorin oder der Direktor der Stiftung Deutsche Zentralbibliothek für Medizin und</w:t>
      </w:r>
    </w:p>
    <w:p>
      <w:r>
        <w:t xml:space="preserve">f) für das beamtete Personal des Landesarchivs Nordrhein-Westfalen</w:t>
      </w:r>
    </w:p>
    <w:p>
      <w:r>
        <w:t xml:space="preserve">die Präsidentin oder der Präsident des Landesarchivs.</w:t>
      </w:r>
    </w:p>
    <w:p>
      <w:r>
        <w:t xml:space="preserve">(2) Für Entscheidungen nach Absatz 1 Nummern 2 und 3, soweit die Zahlung der Trennungsentschädigung berührt ist, ist hinsichtlich der Rektorinnen und Rektoren der Kunsthochschulen die Kanzlerin oder der Kanzler der jeweiligen Kunsthochschule zuständig. Für Entscheidungen nach Absatz 1 ist hinsichtlich der Kanzlerinnen und Kanzler die Rektorin oder der Rektor der jeweiligen Kunsthochschule zuständig.</w:t>
      </w:r>
    </w:p>
    <w:p>
      <w:r>
        <w:t xml:space="preserve">(3) Für Entscheidungen nach Absatz 1 Nummern 1 bis 5 mit Ausnahme der Anordnung und Genehmigung von Dienstreisen in den außereuropäischen Bereich von einer Dauer von über sieben Tagen ist dienstvorgesetzte Stelle für das beamtete Personal</w:t>
      </w:r>
    </w:p>
    <w:p>
      <w:r>
        <w:t xml:space="preserve">1. bei den Einrichtungen im Geschäftsbereich</w:t>
      </w:r>
    </w:p>
    <w:p>
      <w:r>
        <w:t xml:space="preserve">die Leitung der jeweiligen Einrichtung,</w:t>
      </w:r>
    </w:p>
    <w:p>
      <w:r>
        <w:t xml:space="preserve">2. bei der Stiftung für Hochschulzulassung</w:t>
      </w:r>
    </w:p>
    <w:p>
      <w:r>
        <w:t xml:space="preserve">die Geschäftsführung der Stiftung für Hochschulzulassung,</w:t>
      </w:r>
    </w:p>
    <w:p>
      <w:r>
        <w:t xml:space="preserve">3. bei der Stiftung Zoologisches Forschungsmuseum Alexander Koenig - Leibniz-Institut für Biodiversität der Tiere</w:t>
      </w:r>
    </w:p>
    <w:p>
      <w:r>
        <w:t xml:space="preserve">die Direktorin oder der Direktor der Stiftung Zoologisches Forschungsmuseum Alexander Koenig - Leibniz-Institut für Biodiversität der Tiere und</w:t>
      </w:r>
    </w:p>
    <w:p>
      <w:r>
        <w:t xml:space="preserve">4. bei der Stiftung Deutsche Zentralbibliothek für Medizin</w:t>
      </w:r>
    </w:p>
    <w:p>
      <w:r>
        <w:t xml:space="preserve">die Direktorin oder der Direktor der Stiftung Deutsche Zentralbibliothek für Medizin.</w:t>
      </w:r>
    </w:p>
    <w:p>
      <w:r>
        <w:t xml:space="preserve">(4) Für Entscheidungen nach Absatz 1 Nummer 2, mit Ausnahme der Anordnung und Genehmigung von Dienstreisen in den außereuropäischen Bereich, und Nummer 3, soweit die Zahlung der Trennungsentschädigung berührt ist, ist hinsichtlich</w:t>
      </w:r>
    </w:p>
    <w:p>
      <w:r>
        <w:t xml:space="preserve">1. der Leitung der Einrichtungen im Geschäftsbereich,</w:t>
      </w:r>
    </w:p>
    <w:p>
      <w:r>
        <w:t xml:space="preserve">2. der Geschäftsführung der Stiftung für Hochschulzulassung,</w:t>
      </w:r>
    </w:p>
    <w:p>
      <w:r>
        <w:t xml:space="preserve">3. der Direktorin oder des Direktors der Stiftung Zoologisches Forschungsmuseum Alexander Koenig - Leibniz-Institut für Biodiversität der Tiere und</w:t>
      </w:r>
    </w:p>
    <w:p>
      <w:r>
        <w:t xml:space="preserve">4. der Direktorin oder des Direktors der Stiftung Deutsche Zentralbibliothek für Medizin</w:t>
      </w:r>
    </w:p>
    <w:p>
      <w:r>
        <w:t xml:space="preserve">die jeweilige Stellvertretung zuständig.</w:t>
      </w:r>
    </w:p>
    <w:p>
      <w:r>
        <w:t xml:space="preserve">(5) Für Entscheidungen nach den Vorschriften der Beihilfenverordnung ist dienstvorgesetzte Stelle</w:t>
      </w:r>
    </w:p>
    <w:p>
      <w:r>
        <w:t xml:space="preserve">1. für die Rektorinnen oder Rektoren und für die Kanzlerinnen und Kanzler der Kunsthochschulen und für das in § 27 Absatz 2 Satz 2 Kunsthochschulgesetz genannte beamtete Personal sowie für die Leitung der Einrichtungen im Geschäftsbereich</w:t>
      </w:r>
    </w:p>
    <w:p>
      <w:r>
        <w:t xml:space="preserve">die Rektorin oder der Rektor der gemäß § 13 Absatz 1 Satz 2 Nummer 6 Beihilfeverordnung zuständigen Hochschule und</w:t>
      </w:r>
    </w:p>
    <w:p>
      <w:r>
        <w:t xml:space="preserve">2. für das in § 27 Absatz 2 Satz 3 Kunsthochschulgesetz genannte beamtete Personal sowie für das beamtete Personal bei den Einrichtungen im Geschäftsbereich</w:t>
      </w:r>
    </w:p>
    <w:p>
      <w:r>
        <w:t xml:space="preserve">die Kanzlerin oder der Kanzler der gemäß § 13 Absatz 1 Satz 2 Nummer 6 Beihilfeverordnung zuständigen Hochschule.</w:t>
      </w:r>
    </w:p>
    <w:p>
      <w:r>
        <w:t xml:space="preserve">Hinsichtlich der Rektorin und des Rektors der sich aus § 13 Absatz 1 Satz 2 Nummer 6 Beihilfenverordnung ergebenden Hochschule ist für diese Entscheidungen</w:t>
      </w:r>
    </w:p>
    <w:p>
      <w:r>
        <w:t xml:space="preserve">die Kanzlerin oder der Kanzler der jeweiligen Hochschule zuständig.</w:t>
      </w:r>
    </w:p>
    <w:p>
      <w:r>
        <w:t xml:space="preserve">(6) In anderen als den in den Absätzen 1 bis 5 genannten Fällen treffe ich die Entscheidung.</w:t>
      </w:r>
    </w:p>
    <w:p>
      <w:r>
        <w:t xml:space="preserve">(7) Die Absätze 1 bis 6 gelten nicht, soweit auf Grund der in Absatz 1 Satz 1 Nummer 1 bis 5 und Absatz 5 aufgeführten Vorschriften eine andere Stelle zuständig ist.</w:t>
      </w:r>
    </w:p>
    <w:p>
      <w:r>
        <w:rPr>
          <w:color w:val="555555"/>
          <w:sz w:val="17"/>
        </w:rPr>
        <w:t xml:space="preserve">Zitiervorschlag: § 4 NW_30158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https://recht.nulegal.eu/gesetze/NW_30158/4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