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NW_30158 (Nordrhein-Westfalen) — Versetzung, Abordnung</w:t>
      </w:r>
    </w:p>
    <w:p>
      <w:r>
        <w:rPr>
          <w:color w:val="555555"/>
          <w:sz w:val="18"/>
        </w:rPr>
        <w:t xml:space="preserve">Fn 3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§ 2 Absatz 1 Nummer 1 bis 4 und Absatz 2 bis 4 gilt für die Erklärung des Einverständnisses zu einer Versetzung oder Abordnung in den Landesdienst sowie für die Versetzung oder Abordnung zu einem anderen Dienstherrn, § 2 Absatz 1 Nummer 5 für die Versetzung oder Abordnung zu einem anderen Dienstherrn entsprechend. Das gilt auch für die Versetzung oder Abordnung innerhalb des Landesdienstes.</w:t>
      </w:r>
    </w:p>
    <w:p>
      <w:r>
        <w:t xml:space="preserve">(2) In anderen als den in Absatz 1 genannten Fällen verfüge ich die Versetzung oder Abordnung.</w:t>
      </w:r>
    </w:p>
    <w:p>
      <w:r>
        <w:rPr>
          <w:color w:val="555555"/>
          <w:sz w:val="17"/>
        </w:rPr>
        <w:t xml:space="preserve">Zitiervorschlag: § 3 NW_30158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https://recht.nulegal.eu/gesetze/NW_30158/3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