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NW_30158 (Nordrhein-Westfalen) — Allgemeines</w:t>
      </w:r>
    </w:p>
    <w:p>
      <w:r>
        <w:rPr>
          <w:color w:val="555555"/>
          <w:sz w:val="18"/>
        </w:rPr>
        <w:t xml:space="preserve">Fn 3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Dienstvorgesetzte Stelle und als solche zuständig für beamtenrechtliche Entscheidungen über die persönlichen Angelegenheiten des ihnen nachgeordneten beamteten Personals ist</w:t>
      </w:r>
    </w:p>
    <w:p>
      <w:r>
        <w:t xml:space="preserve">1. bei den Kunsthochschulen</w:t>
      </w:r>
    </w:p>
    <w:p>
      <w:r>
        <w:t xml:space="preserve">hinsichtlich des in § 27 Absatz 2 Satz 2 Kunsthochschulgesetz genannten Personals</w:t>
      </w:r>
    </w:p>
    <w:p>
      <w:r>
        <w:t xml:space="preserve">die in dieser Vorschrift genannte Person,</w:t>
      </w:r>
    </w:p>
    <w:p>
      <w:r>
        <w:t xml:space="preserve">hinsichtlich des in § 27 Absatz 2 Satz 3 Kunsthochschulgesetz genannten Personals</w:t>
      </w:r>
    </w:p>
    <w:p>
      <w:r>
        <w:t xml:space="preserve">die in dieser Vorschrift genannte Person,</w:t>
      </w:r>
    </w:p>
    <w:p>
      <w:r>
        <w:t xml:space="preserve">2. bei der Stiftung für Hochschulzulassung</w:t>
      </w:r>
    </w:p>
    <w:p>
      <w:r>
        <w:t xml:space="preserve">hinsichtlich des der Stiftung zugewiesenen Personals</w:t>
      </w:r>
    </w:p>
    <w:p>
      <w:r>
        <w:t xml:space="preserve">die Geschäftsführung der Stiftung für Hochschulzulassung,</w:t>
      </w:r>
    </w:p>
    <w:p>
      <w:r>
        <w:t xml:space="preserve">3. bei der Einrichtung im Geschäftsbereich (Hochschulbibliothekszentrum)</w:t>
      </w:r>
    </w:p>
    <w:p>
      <w:r>
        <w:t xml:space="preserve">die Leitung der Einrichtung,</w:t>
      </w:r>
    </w:p>
    <w:p>
      <w:r>
        <w:t xml:space="preserve">4. bei der Stiftung Zoologisches Forschungsmuseum Alexander Koenig - Leibniz-Institut für Biodiversität der Tiere</w:t>
      </w:r>
    </w:p>
    <w:p>
      <w:r>
        <w:t xml:space="preserve">hinsichtlich des der Stiftung zugewiesenen Personals</w:t>
      </w:r>
    </w:p>
    <w:p>
      <w:r>
        <w:t xml:space="preserve">die Direktorin oder der Direktor,</w:t>
      </w:r>
    </w:p>
    <w:p>
      <w:r>
        <w:t xml:space="preserve">5. bei der Stiftung Deutsche Zentralbibliothek für Medizin</w:t>
      </w:r>
    </w:p>
    <w:p>
      <w:r>
        <w:t xml:space="preserve">hinsichtlich des der Stiftung zugewiesenen Personals</w:t>
      </w:r>
    </w:p>
    <w:p>
      <w:r>
        <w:t xml:space="preserve">die Direktorin oder der Direktor,</w:t>
      </w:r>
    </w:p>
    <w:p>
      <w:r>
        <w:t xml:space="preserve">6. bei dem Landesarchiv Nordrhein-Westfalen</w:t>
      </w:r>
    </w:p>
    <w:p>
      <w:r>
        <w:t xml:space="preserve">die Präsidentin oder der Präsident,</w:t>
      </w:r>
    </w:p>
    <w:p>
      <w:r>
        <w:t xml:space="preserve">7. für das Personal, das gemäß § 12 Personaleinsatzmanagementgesetz NRW in den vorgezogenen Ruhestand versetzt worden ist,</w:t>
      </w:r>
    </w:p>
    <w:p>
      <w:r>
        <w:t xml:space="preserve">die Leitung der vor der Versetzung an das Landesamt für Personaleinsatzmanagement zuständigen Stellen.</w:t>
      </w:r>
    </w:p>
    <w:p>
      <w:r>
        <w:t xml:space="preserve">Dies gilt nicht, sofern der Zurruhesetzungsvorgang betroffen ist. Hier bleibt es bei der Zuständigkeit des Landesamtes für Personaleinsatzmanagement.</w:t>
      </w:r>
    </w:p>
    <w:p>
      <w:r>
        <w:t xml:space="preserve">(2) Absatz 1 gilt nicht, soweit nach Gesetz oder Verordnung eine andere Stelle zuständig oder in den §§ 2 bis 9 etwas anderes bestimmt ist.</w:t>
      </w:r>
    </w:p>
    <w:p>
      <w:r>
        <w:t xml:space="preserve">(3) Sofern die Grundordnung der Kunsthochschule bestimmt, dass die Kunsthochschule an Stelle des Rektorats von einem Präsidium geleitet wird, gelten für die hier getroffenen Bestimmungen die Regelungen des § 15 Absatz 2 Kunsthochschulgesetz entsprechend.</w:t>
      </w:r>
    </w:p>
    <w:p>
      <w:r>
        <w:rPr>
          <w:color w:val="555555"/>
          <w:sz w:val="17"/>
        </w:rPr>
        <w:t xml:space="preserve">Zitiervorschlag: § 1 NW_30158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https://recht.nulegal.eu/gesetze/NW_30158/1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