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NW_30079 (Nordrhein-Westfalen) — Anlegung der maschinell geführten Grundbücher</w:t>
      </w:r>
    </w:p>
    <w:p>
      <w:r>
        <w:rPr>
          <w:color w:val="555555"/>
          <w:sz w:val="18"/>
        </w:rPr>
        <w:t xml:space="preserve">Verordnung über die maschinelle Führung des Grundbuchs und die Konzentration der Führung des Berggrundbuchs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maschinell geführte Grundbuch wird durch Umstellung angelegt (§ 70 Grundbuchverfügung). Ist eine Umstellung nicht möglich, so erfolgt die Anlegung durch Neufassung oder Umschreibung (§§ 68, 69 Grundbuchverfügung).</w:t>
      </w:r>
    </w:p>
    <w:p>
      <w:r>
        <w:t xml:space="preserve">(2) Die Anlegung und Freigabe des maschinell geführten Grundbuchs wird der Urkundsbeamtin oder dem Urkundsbeamten der Geschäftsstelle übertragen, soweit die Anlegung durch Umstellung erfolgt (§ 93 Satz 1 Grundbuchverfügung).</w:t>
      </w:r>
    </w:p>
    <w:p>
      <w:r>
        <w:rPr>
          <w:color w:val="555555"/>
          <w:sz w:val="17"/>
        </w:rPr>
        <w:t xml:space="preserve">Zitiervorschlag: § 2 NW_30079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https://recht.nulegal.eu/gesetze/NW_30079/2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