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NW_30076 (Nordrhein-Westfalen)</w:t>
      </w:r>
    </w:p>
    <w:p>
      <w:r>
        <w:rPr>
          <w:color w:val="555555"/>
          <w:sz w:val="18"/>
        </w:rPr>
        <w:t xml:space="preserve">Gesetz zu dem Staatsvertrag zwischen dem Land Rheinland-Pfalz und dem Land Nordrhein-Westfalen über die Übertragung von Zuständigkeiten im Zuge der Baurechtsschaffung und Bauausführung für den Lückenschluss der Bundesautobahn A 1 zwischen Lommersdorf und Adenau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t xml:space="preserve">Der Innenminister</w:t>
      </w:r>
    </w:p>
    <w:p>
      <w:r>
        <w:t xml:space="preserve">Der Minister</w:t>
      </w:r>
    </w:p>
    <w:p>
      <w:r>
        <w:t xml:space="preserve">für Bauen und Verkehr</w:t>
      </w:r>
    </w:p>
    <w:p>
      <w:r>
        <w:t xml:space="preserve">Die Justizministerin</w:t>
      </w:r>
    </w:p>
    <w:p>
      <w:r>
        <w:rPr>
          <w:color w:val="555555"/>
          <w:sz w:val="17"/>
        </w:rPr>
        <w:t xml:space="preserve">Zitiervorschlag: § 2 NW_30076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https://recht.nulegal.eu/gesetze/NW_30076/2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