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8 NW_30075 (Nordrhein-Westfalen) — Inkrafttreten</w:t>
      </w:r>
    </w:p>
    <w:p>
      <w:r>
        <w:rPr>
          <w:color w:val="555555"/>
          <w:sz w:val="18"/>
        </w:rPr>
        <w:t xml:space="preserve">Gebührenordnung des Landschaftsverbandes Rheinland für die Durchführung der Fortbildungsprüfung zum anerkannten Abschluss geprüfte Fachkraft zur Arbeits- und Berufsförderung in Werkstätten für behinderte Menschen im Rheinland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Diese Gebührenordnung tritt am Tage nach ihrer Verkündung in Kraft.</w:t>
      </w:r>
    </w:p>
    <w:p>
      <w:r>
        <w:t xml:space="preserve">Köln, den 18. März 2010</w:t>
      </w:r>
    </w:p>
    <w:p>
      <w:r>
        <w:t xml:space="preserve">Der Vorsitzende</w:t>
      </w:r>
    </w:p>
    <w:p>
      <w:r>
        <w:t xml:space="preserve">der Landschaftsversammlung Rheinland</w:t>
      </w:r>
    </w:p>
    <w:p>
      <w:r>
        <w:t xml:space="preserve">Dr. W i l h e l m</w:t>
      </w:r>
    </w:p>
    <w:p>
      <w:r>
        <w:t xml:space="preserve">Der Schriftführer</w:t>
      </w:r>
    </w:p>
    <w:p>
      <w:r>
        <w:t xml:space="preserve">der Landschaftsversammlung Rheinland</w:t>
      </w:r>
    </w:p>
    <w:p>
      <w:r>
        <w:t xml:space="preserve">Harry K. V o i g t s b e r g e r</w:t>
      </w:r>
    </w:p>
    <w:p>
      <w:r>
        <w:t xml:space="preserve">Die vorstehende Gebührenordnung des Landschaftsverbandes Rheinland wird gemäß § 6 Absatz 2 Landschaftsverbandsordnung in der zurzeit geltenden Fassung bekannt gemacht.</w:t>
      </w:r>
    </w:p>
    <w:p>
      <w:r>
        <w:t xml:space="preserve">Nach § 6 Absatz 3 Landschaftsverbandsordnung kann die Verletzung von Verfahrens- und Formvorschriften der Landschaftsverbandsordnung gegen die Satzung nach Ablauf eines Jahres seit ihrer Verkündung nicht mehr geltend gemacht werden, es sei denn</w:t>
      </w:r>
    </w:p>
    <w:p>
      <w:r>
        <w:t xml:space="preserve">a) eine vorgeschriebene Genehmigung fehlt oder ein vorgeschriebenes Anzeigeverfahren wurde nicht durchgeführt,</w:t>
      </w:r>
    </w:p>
    <w:p>
      <w:r>
        <w:t xml:space="preserve">b) die Satzung ist nicht ordnungsgemäß öffentlich bekannt gemacht worden,</w:t>
      </w:r>
    </w:p>
    <w:p>
      <w:r>
        <w:t xml:space="preserve">c) der Direktor des Landschaftsverbandes hat den Beschluss der Landschaftsversammlung vorher beanstandet oder</w:t>
      </w:r>
    </w:p>
    <w:p>
      <w:r>
        <w:t xml:space="preserve">d) der Form- und Verfahrensmangel ist gegenüber dem Landschaftsverband vorher gerügt und dabei die verletzte Rechtsvorschrift und die Tatsache bezeichnet worden, die den Mangel ergibt.</w:t>
      </w:r>
    </w:p>
    <w:p>
      <w:r>
        <w:t xml:space="preserve">Köln, den 18. März 2010</w:t>
      </w:r>
    </w:p>
    <w:p>
      <w:r>
        <w:t xml:space="preserve">Der Direktor</w:t>
      </w:r>
    </w:p>
    <w:p>
      <w:r>
        <w:t xml:space="preserve">des Landschaftsverbandes Rheinland</w:t>
      </w:r>
    </w:p>
    <w:p>
      <w:r>
        <w:t xml:space="preserve">Harry K. V o i g t s b e r g e r</w:t>
      </w:r>
    </w:p>
    <w:p>
      <w:r>
        <w:rPr>
          <w:color w:val="555555"/>
          <w:sz w:val="17"/>
        </w:rPr>
        <w:t xml:space="preserve">Zitiervorschlag: § 8 NW_30075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https://recht.nulegal.eu/gesetze/NW_30075/8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