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NW_30075 (Nordrhein-Westfalen) — Stundung der Gebühren</w:t>
      </w:r>
    </w:p>
    <w:p>
      <w:r>
        <w:rPr>
          <w:color w:val="555555"/>
          <w:sz w:val="18"/>
        </w:rPr>
        <w:t xml:space="preserve">Gebührenordnung des Landschaftsverbandes Rheinland für die Durchführung der Fortbildungsprüfung zum anerkannten Abschluss geprüfte Fachkraft zur Arbeits- und Berufsförderung in Werkstätten für behinderte Menschen im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Gebühr kann nicht erlassen werden. Auf schriftlichen Antrag des/der Gebührenpflichtigen kann zur Abwendung unbilliger Härten die Gebühr nach pflichtgemäßem Ermessen des zuständigen Landschaftsverbandes gestundet werden.</w:t>
      </w:r>
    </w:p>
    <w:p>
      <w:r>
        <w:rPr>
          <w:color w:val="555555"/>
          <w:sz w:val="17"/>
        </w:rPr>
        <w:t xml:space="preserve">Zitiervorschlag: § 6 NW_30075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NW_30075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