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NW_30069 (Nordrhein-Westfalen) — Zulassungsvoraussetzungen in besonderen Fällen(§ 45, 46 BBiG)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Auszubildende können nach Anhören der Ausbildenden/des Ausbildenden und der Berufschule vor Ablauf ihrer Ausbildungszeit zur Abschlussprüfung zugelassen werden, wenn ihre bescheinigten Leistungen durchgängig gut oder besser sind und sie einen vorzeitigen Abschluss der Ausbildung rechtfertigen.</w:t>
      </w:r>
    </w:p>
    <w:p>
      <w:r>
        <w:t xml:space="preserve">(2) Zur Abschlussprüfung ist auch zuzulassen, wer nachweist, dass er mindestens das Eineinhalbfache der Zeit, die als Ausbildungszeit vorgeschrieben ist, hier viereinhalb Jahre, die Tätigkeit einer Fachangestellten für Bäderbetriebe/eines Fachangestellten für Bäderbetriebe ausgeübt hat, oder glaubhaft macht, dass er Kenntnisse und Fertigkeiten erworben hat, die die Zulassung zur Prüfung rechtfertigen.</w:t>
      </w:r>
    </w:p>
    <w:p>
      <w:r>
        <w:rPr>
          <w:color w:val="555555"/>
          <w:sz w:val="17"/>
        </w:rPr>
        <w:t xml:space="preserve">Zitiervorschlag: § 9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